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20"/>
      </w:pPr>
      <w:r>
        <w:rPr>
          <w:rFonts w:ascii="Arial" w:cs="Arial" w:eastAsia="Arial" w:hAnsi="Arial"/>
          <w:b w:val="false"/>
          <w:bCs w:val="false"/>
          <w:i w:val="false"/>
          <w:iCs w:val="false"/>
          <w:color w:val="0A0A0F"/>
          <w:sz w:val="20"/>
          <w:szCs w:val="20"/>
        </w:rPr>
        <w:t xml:space="preserve"/>
      </w:r>
    </w:p>
    <w:p>
      <w:pPr>
        <w:spacing w:after="40" w:before="0"/>
        <w:jc w:val="center"/>
      </w:pPr>
      <w:r>
        <w:rPr>
          <w:rFonts w:ascii="Arial" w:cs="Arial" w:eastAsia="Arial" w:hAnsi="Arial"/>
          <w:b/>
          <w:bCs/>
          <w:i w:val="false"/>
          <w:iCs w:val="false"/>
          <w:color w:val="B8975A"/>
          <w:sz w:val="17"/>
          <w:szCs w:val="17"/>
        </w:rPr>
        <w:t xml:space="preserve">TECHNICAL WHITE PAPER</w:t>
      </w:r>
    </w:p>
    <w:p>
      <w:pPr>
        <w:spacing w:after="14" w:before="0"/>
        <w:jc w:val="center"/>
      </w:pPr>
      <w:r>
        <w:rPr>
          <w:rFonts w:ascii="Arial" w:cs="Arial" w:eastAsia="Arial" w:hAnsi="Arial"/>
          <w:b/>
          <w:bCs/>
          <w:i w:val="false"/>
          <w:iCs w:val="false"/>
          <w:color w:val="1C2A40"/>
          <w:sz w:val="42"/>
          <w:szCs w:val="42"/>
        </w:rPr>
        <w:t xml:space="preserve">In-Environment Compliance Agent</w:t>
      </w:r>
    </w:p>
    <w:p>
      <w:pPr>
        <w:spacing w:after="240" w:before="0"/>
        <w:jc w:val="center"/>
      </w:pPr>
      <w:r>
        <w:rPr>
          <w:rFonts w:ascii="Arial" w:cs="Arial" w:eastAsia="Arial" w:hAnsi="Arial"/>
          <w:b w:val="false"/>
          <w:bCs w:val="false"/>
          <w:i/>
          <w:iCs/>
          <w:color w:val="2E3A50"/>
          <w:sz w:val="23"/>
          <w:szCs w:val="23"/>
        </w:rPr>
        <w:t xml:space="preserve">Zero-Egress Architecture &amp; the Compliance Telemetry Flywheel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center"/>
            </w:pPr>
            <w:r>
              <w:rPr>
                <w:rFonts w:ascii="Arial" w:cs="Arial" w:eastAsia="Arial" w:hAnsi="Arial"/>
                <w:b/>
                <w:bCs/>
                <w:i w:val="false"/>
                <w:iCs w:val="false"/>
                <w:color w:val="F2F0EB"/>
                <w:sz w:val="20"/>
                <w:szCs w:val="20"/>
              </w:rPr>
              <w:t xml:space="preserve">Zero Data Egress</w:t>
            </w:r>
          </w:p>
        </w:tc>
        <w:tc>
          <w:tcPr>
            <w:tcW w:type="dxa" w:w="3120"/>
            <w:tcBorders>
              <w:top w:val="single" w:color="D8D4CC" w:sz="4"/>
              <w:left w:val="single" w:color="D8D4CC" w:sz="4"/>
              <w:bottom w:val="single" w:color="D8D4CC" w:sz="4"/>
              <w:right w:val="single" w:color="D8D4CC" w:sz="4"/>
            </w:tcBorders>
            <w:shd w:fill="2E3A50" w:val="clear"/>
            <w:tcMar>
              <w:top w:type="dxa" w:w="90"/>
              <w:left w:type="dxa" w:w="130"/>
              <w:bottom w:type="dxa" w:w="90"/>
              <w:right w:type="dxa" w:w="130"/>
            </w:tcMar>
          </w:tcPr>
          <w:p>
            <w:pPr>
              <w:jc w:val="center"/>
            </w:pPr>
            <w:r>
              <w:rPr>
                <w:rFonts w:ascii="Arial" w:cs="Arial" w:eastAsia="Arial" w:hAnsi="Arial"/>
                <w:b/>
                <w:bCs/>
                <w:i w:val="false"/>
                <w:iCs w:val="false"/>
                <w:color w:val="F2F0EB"/>
                <w:sz w:val="20"/>
                <w:szCs w:val="20"/>
              </w:rPr>
              <w:t xml:space="preserve">Federated Intelligence</w:t>
            </w:r>
          </w:p>
        </w:tc>
        <w:tc>
          <w:tcPr>
            <w:tcW w:type="dxa" w:w="312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center"/>
            </w:pPr>
            <w:r>
              <w:rPr>
                <w:rFonts w:ascii="Arial" w:cs="Arial" w:eastAsia="Arial" w:hAnsi="Arial"/>
                <w:b/>
                <w:bCs/>
                <w:i w:val="false"/>
                <w:iCs w:val="false"/>
                <w:color w:val="B8975A"/>
                <w:sz w:val="20"/>
                <w:szCs w:val="20"/>
              </w:rPr>
              <w:t xml:space="preserve">Verifiable Trust</w:t>
            </w:r>
          </w:p>
        </w:tc>
      </w:tr>
    </w:tbl>
    <w:p>
      <w:pPr>
        <w:spacing w:after="280"/>
      </w:pPr>
      <w:r>
        <w:rPr>
          <w:rFonts w:ascii="Arial" w:cs="Arial" w:eastAsia="Arial" w:hAnsi="Arial"/>
          <w:b w:val="false"/>
          <w:bCs w:val="false"/>
          <w:i w:val="false"/>
          <w:iCs w:val="false"/>
          <w:color w:val="0A0A0F"/>
          <w:sz w:val="20"/>
          <w:szCs w:val="20"/>
        </w:rPr>
        <w:t xml:space="preserve"/>
      </w:r>
    </w:p>
    <w:p>
      <w:pPr>
        <w:spacing w:after="30" w:before="0"/>
        <w:jc w:val="center"/>
      </w:pPr>
      <w:r>
        <w:rPr>
          <w:rFonts w:ascii="Arial" w:cs="Arial" w:eastAsia="Arial" w:hAnsi="Arial"/>
          <w:b w:val="false"/>
          <w:bCs w:val="false"/>
          <w:i w:val="false"/>
          <w:iCs w:val="false"/>
          <w:color w:val="6A6A82"/>
          <w:sz w:val="18"/>
          <w:szCs w:val="18"/>
        </w:rPr>
        <w:t xml:space="preserve">TriCom AI Limited  ·  Hong Kong / Shenzhen</w:t>
      </w:r>
    </w:p>
    <w:p>
      <w:pPr>
        <w:spacing w:after="120" w:before="0"/>
        <w:jc w:val="center"/>
      </w:pPr>
      <w:r>
        <w:rPr>
          <w:rFonts w:ascii="Arial" w:cs="Arial" w:eastAsia="Arial" w:hAnsi="Arial"/>
          <w:b w:val="false"/>
          <w:bCs w:val="false"/>
          <w:i w:val="false"/>
          <w:iCs w:val="false"/>
          <w:color w:val="6A6A82"/>
          <w:sz w:val="16"/>
          <w:szCs w:val="16"/>
        </w:rPr>
        <w:t xml:space="preserve">Prepared for the Cyberport Incubation Programme Assessment Panel  ·  v1.0  ·  2026</w:t>
      </w:r>
    </w:p>
    <w:p>
      <w:r>
        <w:br w:type="page"/>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1. Executive Summary</w:t>
      </w:r>
    </w:p>
    <w:p>
      <w:pPr>
        <w:spacing w:after="120" w:before="0"/>
        <w:jc w:val="left"/>
      </w:pPr>
      <w:r>
        <w:rPr>
          <w:rFonts w:ascii="Arial" w:cs="Arial" w:eastAsia="Arial" w:hAnsi="Arial"/>
          <w:b w:val="false"/>
          <w:bCs w:val="false"/>
          <w:i w:val="false"/>
          <w:iCs w:val="false"/>
          <w:color w:val="0A0A0F"/>
          <w:sz w:val="20"/>
          <w:szCs w:val="20"/>
        </w:rPr>
        <w:t xml:space="preserve">TriCom AI's core product is an </w:t>
      </w:r>
      <w:r>
        <w:rPr>
          <w:rFonts w:ascii="Arial" w:cs="Arial" w:eastAsia="Arial" w:hAnsi="Arial"/>
          <w:b/>
          <w:bCs/>
          <w:i w:val="false"/>
          <w:iCs w:val="false"/>
          <w:color w:val="0A0A0F"/>
          <w:sz w:val="20"/>
          <w:szCs w:val="20"/>
        </w:rPr>
        <w:t xml:space="preserve">In-Environment Compliance Agent</w:t>
      </w:r>
      <w:r>
        <w:rPr>
          <w:rFonts w:ascii="Arial" w:cs="Arial" w:eastAsia="Arial" w:hAnsi="Arial"/>
          <w:b w:val="false"/>
          <w:bCs w:val="false"/>
          <w:i w:val="false"/>
          <w:iCs w:val="false"/>
          <w:color w:val="0A0A0F"/>
          <w:sz w:val="20"/>
          <w:szCs w:val="20"/>
        </w:rPr>
        <w:t xml:space="preserve">: a containerised AI system deployed entirely inside the client's own infrastructure that continuously discovers data flows, classifies sensitive fields, maps exposure against PIPL, GDPR, CCPA, the EU AI Act and DORA simultaneously, and renders the result as scores, dashboards and data-flow maps — </w:t>
      </w:r>
      <w:r>
        <w:rPr>
          <w:rFonts w:ascii="Arial" w:cs="Arial" w:eastAsia="Arial" w:hAnsi="Arial"/>
          <w:b/>
          <w:bCs/>
          <w:i w:val="false"/>
          <w:iCs w:val="false"/>
          <w:color w:val="0A0A0F"/>
          <w:sz w:val="20"/>
          <w:szCs w:val="20"/>
        </w:rPr>
        <w:t xml:space="preserve">without client data ever leaving the client environment.</w:t>
      </w:r>
    </w:p>
    <w:p>
      <w:pPr>
        <w:spacing w:after="120" w:before="0"/>
        <w:jc w:val="left"/>
      </w:pPr>
      <w:r>
        <w:rPr>
          <w:rFonts w:ascii="Arial" w:cs="Arial" w:eastAsia="Arial" w:hAnsi="Arial"/>
          <w:b w:val="false"/>
          <w:bCs w:val="false"/>
          <w:i w:val="false"/>
          <w:iCs w:val="false"/>
          <w:color w:val="0A0A0F"/>
          <w:sz w:val="20"/>
          <w:szCs w:val="20"/>
        </w:rPr>
        <w:t xml:space="preserve">This document specifies how the architecture resolves the apparent contradiction at the heart of any compliance platform: a network-effect data flywheel normally requires centralising data, while cross-border compliance demands the opposite. Our resolution rests on one principle:</w:t>
      </w:r>
    </w:p>
    <w:p>
      <w:pPr>
        <w:spacing w:after="120" w:before="80"/>
        <w:jc w:val="center"/>
      </w:pPr>
      <w:r>
        <w:rPr>
          <w:rFonts w:ascii="Arial" w:cs="Arial" w:eastAsia="Arial" w:hAnsi="Arial"/>
          <w:b/>
          <w:bCs/>
          <w:i/>
          <w:iCs/>
          <w:color w:val="2E3A50"/>
          <w:sz w:val="22"/>
          <w:szCs w:val="22"/>
        </w:rPr>
        <w:t xml:space="preserve">“We collect compliance telemetry, not data — the way an antivirus vendor collects malware signatures, not your files.”</w:t>
      </w:r>
    </w:p>
    <w:p>
      <w:pPr>
        <w:spacing w:after="120" w:before="0"/>
        <w:jc w:val="left"/>
      </w:pPr>
      <w:r>
        <w:rPr>
          <w:rFonts w:ascii="Arial" w:cs="Arial" w:eastAsia="Arial" w:hAnsi="Arial"/>
          <w:b w:val="false"/>
          <w:bCs w:val="false"/>
          <w:i w:val="false"/>
          <w:iCs w:val="false"/>
          <w:color w:val="0A0A0F"/>
          <w:sz w:val="20"/>
          <w:szCs w:val="20"/>
        </w:rPr>
        <w:t xml:space="preserve">Four architectural layers make this claim verifiable rather than rhetorical: a hard-coded Egress Whitelist Schema; federated learning with differential privacy; productised flywheel outputs (industry benchmarks, evolving rule libraries, pre-trained classifiers); and an air-gapped mode plus an open-source egress-control module that allows any client or auditor to verify the zero-egress guarantee in code.</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2. Design Philosophy</w:t>
      </w:r>
    </w:p>
    <w:p>
      <w:pPr>
        <w:spacing w:after="100" w:before="200"/>
        <w:jc w:val="left"/>
      </w:pPr>
      <w:r>
        <w:rPr>
          <w:rFonts w:ascii="Arial" w:cs="Arial" w:eastAsia="Arial" w:hAnsi="Arial"/>
          <w:b/>
          <w:bCs/>
          <w:i w:val="false"/>
          <w:iCs w:val="false"/>
          <w:color w:val="2E3A50"/>
          <w:sz w:val="23"/>
          <w:szCs w:val="23"/>
        </w:rPr>
        <w:t xml:space="preserve">2.1 The Contradiction We Must Resolve</w:t>
      </w:r>
    </w:p>
    <w:p>
      <w:pPr>
        <w:spacing w:after="120" w:before="0"/>
        <w:jc w:val="left"/>
      </w:pPr>
      <w:r>
        <w:rPr>
          <w:rFonts w:ascii="Arial" w:cs="Arial" w:eastAsia="Arial" w:hAnsi="Arial"/>
          <w:b w:val="false"/>
          <w:bCs w:val="false"/>
          <w:i w:val="false"/>
          <w:iCs w:val="false"/>
          <w:color w:val="0A0A0F"/>
          <w:sz w:val="20"/>
          <w:szCs w:val="20"/>
        </w:rPr>
        <w:t xml:space="preserve">Under PIPL Article 38 and GDPR Chapter V, remote access from abroad to data stored domestically constitutes a cross-border transfer. A naive SaaS compliance platform therefore creates the very regulatory event it claims to manage. Equally, a fully isolated on-premise tool generates no aggregate intelligence and cannot improve with scale. TriCom AI's architecture is designed to occupy the narrow, defensible space between these failure modes.</w:t>
      </w:r>
    </w:p>
    <w:p>
      <w:pPr>
        <w:spacing w:after="100" w:before="200"/>
        <w:jc w:val="left"/>
      </w:pPr>
      <w:r>
        <w:rPr>
          <w:rFonts w:ascii="Arial" w:cs="Arial" w:eastAsia="Arial" w:hAnsi="Arial"/>
          <w:b/>
          <w:bCs/>
          <w:i w:val="false"/>
          <w:iCs w:val="false"/>
          <w:color w:val="2E3A50"/>
          <w:sz w:val="23"/>
          <w:szCs w:val="23"/>
        </w:rPr>
        <w:t xml:space="preserve">2.2 Three Non-Negotiable Principles</w:t>
      </w:r>
    </w:p>
    <w:p>
      <w:pPr>
        <w:pStyle w:val="ListParagraph"/>
        <w:numPr>
          <w:ilvl w:val="0"/>
          <w:numId w:val="2"/>
        </w:numPr>
        <w:spacing w:after="80"/>
      </w:pPr>
      <w:r>
        <w:rPr>
          <w:rFonts w:ascii="Arial" w:cs="Arial" w:eastAsia="Arial" w:hAnsi="Arial"/>
          <w:b/>
          <w:bCs/>
          <w:i w:val="false"/>
          <w:iCs w:val="false"/>
          <w:color w:val="0A0A0F"/>
          <w:sz w:val="20"/>
          <w:szCs w:val="20"/>
        </w:rPr>
        <w:t xml:space="preserve">Data gravity stays local. </w:t>
      </w:r>
      <w:r>
        <w:rPr>
          <w:rFonts w:ascii="Arial" w:cs="Arial" w:eastAsia="Arial" w:hAnsi="Arial"/>
          <w:b w:val="false"/>
          <w:bCs w:val="false"/>
          <w:i w:val="false"/>
          <w:iCs w:val="false"/>
          <w:color w:val="0A0A0F"/>
          <w:sz w:val="20"/>
          <w:szCs w:val="20"/>
        </w:rPr>
        <w:t xml:space="preserve">Raw business data, personal information and document content are processed where they live. The Agent moves to the data; the data never moves to us.</w:t>
      </w:r>
    </w:p>
    <w:p>
      <w:pPr>
        <w:pStyle w:val="ListParagraph"/>
        <w:numPr>
          <w:ilvl w:val="0"/>
          <w:numId w:val="2"/>
        </w:numPr>
        <w:spacing w:after="80"/>
      </w:pPr>
      <w:r>
        <w:rPr>
          <w:rFonts w:ascii="Arial" w:cs="Arial" w:eastAsia="Arial" w:hAnsi="Arial"/>
          <w:b/>
          <w:bCs/>
          <w:i w:val="false"/>
          <w:iCs w:val="false"/>
          <w:color w:val="0A0A0F"/>
          <w:sz w:val="20"/>
          <w:szCs w:val="20"/>
        </w:rPr>
        <w:t xml:space="preserve">Egress is schema-bound, not policy-bound. </w:t>
      </w:r>
      <w:r>
        <w:rPr>
          <w:rFonts w:ascii="Arial" w:cs="Arial" w:eastAsia="Arial" w:hAnsi="Arial"/>
          <w:b w:val="false"/>
          <w:bCs w:val="false"/>
          <w:i w:val="false"/>
          <w:iCs w:val="false"/>
          <w:color w:val="0A0A0F"/>
          <w:sz w:val="20"/>
          <w:szCs w:val="20"/>
        </w:rPr>
        <w:t xml:space="preserve">What may leave the client environment is defined by a versioned, machine-enforced whitelist — not by an internal policy that depends on our good behaviour.</w:t>
      </w:r>
    </w:p>
    <w:p>
      <w:pPr>
        <w:pStyle w:val="ListParagraph"/>
        <w:numPr>
          <w:ilvl w:val="0"/>
          <w:numId w:val="2"/>
        </w:numPr>
        <w:spacing w:after="80"/>
      </w:pPr>
      <w:r>
        <w:rPr>
          <w:rFonts w:ascii="Arial" w:cs="Arial" w:eastAsia="Arial" w:hAnsi="Arial"/>
          <w:b/>
          <w:bCs/>
          <w:i w:val="false"/>
          <w:iCs w:val="false"/>
          <w:color w:val="0A0A0F"/>
          <w:sz w:val="20"/>
          <w:szCs w:val="20"/>
        </w:rPr>
        <w:t xml:space="preserve">Trust must be verifiable. </w:t>
      </w:r>
      <w:r>
        <w:rPr>
          <w:rFonts w:ascii="Arial" w:cs="Arial" w:eastAsia="Arial" w:hAnsi="Arial"/>
          <w:b w:val="false"/>
          <w:bCs w:val="false"/>
          <w:i w:val="false"/>
          <w:iCs w:val="false"/>
          <w:color w:val="0A0A0F"/>
          <w:sz w:val="20"/>
          <w:szCs w:val="20"/>
        </w:rPr>
        <w:t xml:space="preserve">Clients, auditors and regulators can inspect the egress-control code, replay the egress audit log, or run in fully air-gapped mode. Zero egress is a property of the system, not a promise in a contract.</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3. System Architecture</w:t>
      </w:r>
    </w:p>
    <w:p>
      <w:pPr>
        <w:spacing w:after="100" w:before="200"/>
        <w:jc w:val="left"/>
      </w:pPr>
      <w:r>
        <w:rPr>
          <w:rFonts w:ascii="Arial" w:cs="Arial" w:eastAsia="Arial" w:hAnsi="Arial"/>
          <w:b/>
          <w:bCs/>
          <w:i w:val="false"/>
          <w:iCs w:val="false"/>
          <w:color w:val="2E3A50"/>
          <w:sz w:val="23"/>
          <w:szCs w:val="23"/>
        </w:rPr>
        <w:t xml:space="preserve">3.1 The In-Environment Agent</w:t>
      </w:r>
    </w:p>
    <w:p>
      <w:pPr>
        <w:spacing w:after="120" w:before="0"/>
        <w:jc w:val="left"/>
      </w:pPr>
      <w:r>
        <w:rPr>
          <w:rFonts w:ascii="Arial" w:cs="Arial" w:eastAsia="Arial" w:hAnsi="Arial"/>
          <w:b w:val="false"/>
          <w:bCs w:val="false"/>
          <w:i w:val="false"/>
          <w:iCs w:val="false"/>
          <w:color w:val="0A0A0F"/>
          <w:sz w:val="20"/>
          <w:szCs w:val="20"/>
        </w:rPr>
        <w:t xml:space="preserve">The Agent ships as a set of Docker containers (Kubernetes-ready) deployed in the client's VPC or on-premise environment. Functional modules: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Module</w:t>
            </w:r>
          </w:p>
        </w:tc>
        <w:tc>
          <w:tcPr>
            <w:tcW w:type="dxa" w:w="696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Function</w:t>
            </w:r>
          </w:p>
        </w:tc>
      </w:tr>
      <w:tr>
        <w:tc>
          <w:tcPr>
            <w:tcW w:type="dxa" w:w="24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Discovery Engine</w:t>
            </w:r>
          </w:p>
        </w:tc>
        <w:tc>
          <w:tcPr>
            <w:tcW w:type="dxa" w:w="69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Connects to databases, file stores, SaaS APIs and network/security tools; builds the live inventory of data assets and flows.</w:t>
            </w:r>
          </w:p>
        </w:tc>
      </w:tr>
      <w:tr>
        <w:tc>
          <w:tcPr>
            <w:tcW w:type="dxa" w:w="24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Classification Engine</w:t>
            </w:r>
          </w:p>
        </w:tc>
        <w:tc>
          <w:tcPr>
            <w:tcW w:type="dxa" w:w="69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LLM-assisted sensitive-field identification (PII, financial, health, biometric, important data per CN catalogues), using locally-deployed or client-approved models.</w:t>
            </w:r>
          </w:p>
        </w:tc>
      </w:tr>
      <w:tr>
        <w:tc>
          <w:tcPr>
            <w:tcW w:type="dxa" w:w="24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Mapping Engine</w:t>
            </w:r>
          </w:p>
        </w:tc>
        <w:tc>
          <w:tcPr>
            <w:tcW w:type="dxa" w:w="69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Maps each discovered flow against the multi-framework rule library (PIPL / GDPR / CCPA / EU AI Act / DORA), determining required transfer mechanisms and gaps.</w:t>
            </w:r>
          </w:p>
        </w:tc>
      </w:tr>
      <w:tr>
        <w:tc>
          <w:tcPr>
            <w:tcW w:type="dxa" w:w="24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Scoring &amp; Visualisation</w:t>
            </w:r>
          </w:p>
        </w:tc>
        <w:tc>
          <w:tcPr>
            <w:tcW w:type="dxa" w:w="69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Generates compliance scores, gap registers, and interactive data-flow maps rendered in the local dashboard (the current MVP layer).</w:t>
            </w:r>
          </w:p>
        </w:tc>
      </w:tr>
      <w:tr>
        <w:tc>
          <w:tcPr>
            <w:tcW w:type="dxa" w:w="24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Egress Controller</w:t>
            </w:r>
          </w:p>
        </w:tc>
        <w:tc>
          <w:tcPr>
            <w:tcW w:type="dxa" w:w="69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The single, auditable channel through which schema-validated telemetry may leave. All other outbound paths are blocked at container network level. Open-source.</w:t>
            </w:r>
          </w:p>
        </w:tc>
      </w:tr>
    </w:tbl>
    <w:p>
      <w:pPr>
        <w:spacing w:after="140"/>
      </w:pPr>
      <w:r>
        <w:rPr>
          <w:rFonts w:ascii="Arial" w:cs="Arial" w:eastAsia="Arial" w:hAnsi="Arial"/>
          <w:b w:val="false"/>
          <w:bCs w:val="false"/>
          <w:i w:val="false"/>
          <w:iCs w:val="false"/>
          <w:color w:val="0A0A0F"/>
          <w:sz w:val="20"/>
          <w:szCs w:val="20"/>
        </w:rPr>
        <w:t xml:space="preserve"/>
      </w:r>
    </w:p>
    <w:p>
      <w:pPr>
        <w:spacing w:after="100" w:before="200"/>
        <w:jc w:val="left"/>
      </w:pPr>
      <w:r>
        <w:rPr>
          <w:rFonts w:ascii="Arial" w:cs="Arial" w:eastAsia="Arial" w:hAnsi="Arial"/>
          <w:b/>
          <w:bCs/>
          <w:i w:val="false"/>
          <w:iCs w:val="false"/>
          <w:color w:val="2E3A50"/>
          <w:sz w:val="23"/>
          <w:szCs w:val="23"/>
        </w:rPr>
        <w:t xml:space="preserve">3.2 Layer 1 — The Egress Whitelist Schema</w:t>
      </w:r>
    </w:p>
    <w:p>
      <w:pPr>
        <w:spacing w:after="120" w:before="0"/>
        <w:jc w:val="left"/>
      </w:pPr>
      <w:r>
        <w:rPr>
          <w:rFonts w:ascii="Arial" w:cs="Arial" w:eastAsia="Arial" w:hAnsi="Arial"/>
          <w:b w:val="false"/>
          <w:bCs w:val="false"/>
          <w:i w:val="false"/>
          <w:iCs w:val="false"/>
          <w:color w:val="0A0A0F"/>
          <w:sz w:val="20"/>
          <w:szCs w:val="20"/>
        </w:rPr>
        <w:t xml:space="preserve">The foundation of verifiable trust. The Agent's outbound channel accepts only payloads conforming to a published, versioned schema. The schema defines three categories — everything else is physically blocked and logged client-side: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600"/>
        <w:gridCol w:w="2960"/>
      </w:tblGrid>
      <w:tr>
        <w:tc>
          <w:tcPr>
            <w:tcW w:type="dxa" w:w="2800"/>
            <w:tcBorders>
              <w:top w:val="single" w:color="D8D4CC" w:sz="4"/>
              <w:left w:val="single" w:color="D8D4CC" w:sz="4"/>
              <w:bottom w:val="single" w:color="D8D4CC" w:sz="4"/>
              <w:right w:val="single" w:color="D8D4CC" w:sz="4"/>
            </w:tcBorders>
            <w:shd w:fill="2A6644"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Permitted Egress</w:t>
            </w:r>
          </w:p>
        </w:tc>
        <w:tc>
          <w:tcPr>
            <w:tcW w:type="dxa" w:w="3600"/>
            <w:tcBorders>
              <w:top w:val="single" w:color="D8D4CC" w:sz="4"/>
              <w:left w:val="single" w:color="D8D4CC" w:sz="4"/>
              <w:bottom w:val="single" w:color="D8D4CC" w:sz="4"/>
              <w:right w:val="single" w:color="D8D4CC" w:sz="4"/>
            </w:tcBorders>
            <w:shd w:fill="2A6644"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Examples</w:t>
            </w:r>
          </w:p>
        </w:tc>
        <w:tc>
          <w:tcPr>
            <w:tcW w:type="dxa" w:w="2960"/>
            <w:tcBorders>
              <w:top w:val="single" w:color="D8D4CC" w:sz="4"/>
              <w:left w:val="single" w:color="D8D4CC" w:sz="4"/>
              <w:bottom w:val="single" w:color="D8D4CC" w:sz="4"/>
              <w:right w:val="single" w:color="D8D4CC" w:sz="4"/>
            </w:tcBorders>
            <w:shd w:fill="8A3A2A"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Never Egresses</w:t>
            </w:r>
          </w:p>
        </w:tc>
      </w:tr>
      <w:tr>
        <w:tc>
          <w:tcPr>
            <w:tcW w:type="dxa" w:w="28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Aggregated compliance metrics</w:t>
            </w:r>
          </w:p>
        </w:tc>
        <w:tc>
          <w:tcPr>
            <w:tcW w:type="dxa" w:w="36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Risk-score distributions, control pass rates, rule-hit counts (k-anonymised, differential-privacy noise applied)</w:t>
            </w:r>
          </w:p>
        </w:tc>
        <w:tc>
          <w:tcPr>
            <w:tcW w:type="dxa" w:w="29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8A3A2A"/>
                <w:sz w:val="18"/>
                <w:szCs w:val="18"/>
              </w:rPr>
              <w:t xml:space="preserve">Raw business data of any kind</w:t>
            </w:r>
          </w:p>
        </w:tc>
      </w:tr>
      <w:tr>
        <w:tc>
          <w:tcPr>
            <w:tcW w:type="dxa" w:w="28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Model deltas</w:t>
            </w:r>
          </w:p>
        </w:tc>
        <w:tc>
          <w:tcPr>
            <w:tcW w:type="dxa" w:w="36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Federated-learning gradient updates, secure-aggregated before leaving</w:t>
            </w:r>
          </w:p>
        </w:tc>
        <w:tc>
          <w:tcPr>
            <w:tcW w:type="dxa" w:w="29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8A3A2A"/>
                <w:sz w:val="18"/>
                <w:szCs w:val="18"/>
              </w:rPr>
              <w:t xml:space="preserve">Personally identifiable information</w:t>
            </w:r>
          </w:p>
        </w:tc>
      </w:tr>
      <w:tr>
        <w:tc>
          <w:tcPr>
            <w:tcW w:type="dxa" w:w="28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Rule feedback</w:t>
            </w:r>
          </w:p>
        </w:tc>
        <w:tc>
          <w:tcPr>
            <w:tcW w:type="dxa" w:w="36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Which mapping rule fired, false-positive flags — never the content that triggered it</w:t>
            </w:r>
          </w:p>
        </w:tc>
        <w:tc>
          <w:tcPr>
            <w:tcW w:type="dxa" w:w="29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8A3A2A"/>
                <w:sz w:val="18"/>
                <w:szCs w:val="18"/>
              </w:rPr>
              <w:t xml:space="preserve">Document content, field values, identifiers</w:t>
            </w:r>
          </w:p>
        </w:tc>
      </w:tr>
    </w:tbl>
    <w:p>
      <w:pPr>
        <w:spacing w:after="120"/>
      </w:pPr>
      <w:r>
        <w:rPr>
          <w:rFonts w:ascii="Arial" w:cs="Arial" w:eastAsia="Arial" w:hAnsi="Arial"/>
          <w:b w:val="false"/>
          <w:bCs w:val="false"/>
          <w:i w:val="false"/>
          <w:iCs w:val="false"/>
          <w:color w:val="0A0A0F"/>
          <w:sz w:val="20"/>
          <w:szCs w:val="20"/>
        </w:rPr>
        <w:t xml:space="preserve"/>
      </w:r>
    </w:p>
    <w:p>
      <w:pPr>
        <w:spacing w:after="120" w:before="0"/>
        <w:jc w:val="left"/>
      </w:pPr>
      <w:r>
        <w:rPr>
          <w:rFonts w:ascii="Arial" w:cs="Arial" w:eastAsia="Arial" w:hAnsi="Arial"/>
          <w:b w:val="false"/>
          <w:bCs w:val="false"/>
          <w:i w:val="false"/>
          <w:iCs w:val="false"/>
          <w:color w:val="0A0A0F"/>
          <w:sz w:val="20"/>
          <w:szCs w:val="20"/>
        </w:rPr>
        <w:t xml:space="preserve">Schema versions are published openly. Any change is announced, diff-able, and requires explicit client opt-in before the Agent will apply it. The client-side egress audit log records every outbound payload in full and is retained under the client's exclusive control.</w:t>
      </w:r>
    </w:p>
    <w:p>
      <w:pPr>
        <w:spacing w:after="100" w:before="200"/>
        <w:jc w:val="left"/>
      </w:pPr>
      <w:r>
        <w:rPr>
          <w:rFonts w:ascii="Arial" w:cs="Arial" w:eastAsia="Arial" w:hAnsi="Arial"/>
          <w:b/>
          <w:bCs/>
          <w:i w:val="false"/>
          <w:iCs w:val="false"/>
          <w:color w:val="2E3A50"/>
          <w:sz w:val="23"/>
          <w:szCs w:val="23"/>
        </w:rPr>
        <w:t xml:space="preserve">3.3 Layer 2 — Federated Learning &amp; Differential Privacy</w:t>
      </w:r>
    </w:p>
    <w:p>
      <w:pPr>
        <w:spacing w:after="120" w:before="0"/>
        <w:jc w:val="left"/>
      </w:pPr>
      <w:r>
        <w:rPr>
          <w:rFonts w:ascii="Arial" w:cs="Arial" w:eastAsia="Arial" w:hAnsi="Arial"/>
          <w:b w:val="false"/>
          <w:bCs w:val="false"/>
          <w:i w:val="false"/>
          <w:iCs w:val="false"/>
          <w:color w:val="0A0A0F"/>
          <w:sz w:val="20"/>
          <w:szCs w:val="20"/>
        </w:rPr>
        <w:t xml:space="preserve">The flywheel engine. The sensitive-field classification model improves across the client base without any client's data leaving home:</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The global model is distributed to each Agent; training occurs locally on the client's own data.</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Only gradient updates leave, protected by secure aggregation so no single client's update is reconstructable.</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Aggregated metrics destined for benchmark products carry calibrated differential-privacy noise, with a published privacy budget, making re-identification mathematically bounded.</w:t>
      </w:r>
    </w:p>
    <w:p>
      <w:pPr>
        <w:spacing w:after="120" w:before="0"/>
        <w:jc w:val="left"/>
      </w:pPr>
      <w:r>
        <w:rPr>
          <w:rFonts w:ascii="Arial" w:cs="Arial" w:eastAsia="Arial" w:hAnsi="Arial"/>
          <w:b w:val="false"/>
          <w:bCs w:val="false"/>
          <w:i w:val="false"/>
          <w:iCs w:val="false"/>
          <w:color w:val="0A0A0F"/>
          <w:sz w:val="20"/>
          <w:szCs w:val="20"/>
        </w:rPr>
        <w:t xml:space="preserve">Implementation builds on </w:t>
      </w:r>
      <w:r>
        <w:rPr>
          <w:rFonts w:ascii="Arial" w:cs="Arial" w:eastAsia="Arial" w:hAnsi="Arial"/>
          <w:b/>
          <w:bCs/>
          <w:i w:val="false"/>
          <w:iCs w:val="false"/>
          <w:color w:val="0A0A0F"/>
          <w:sz w:val="20"/>
          <w:szCs w:val="20"/>
        </w:rPr>
        <w:t xml:space="preserve">SecretFlow (Ant Group) or FATE (WeBank)</w:t>
      </w:r>
      <w:r>
        <w:rPr>
          <w:rFonts w:ascii="Arial" w:cs="Arial" w:eastAsia="Arial" w:hAnsi="Arial"/>
          <w:b w:val="false"/>
          <w:bCs w:val="false"/>
          <w:i w:val="false"/>
          <w:iCs w:val="false"/>
          <w:color w:val="0A0A0F"/>
          <w:sz w:val="20"/>
          <w:szCs w:val="20"/>
        </w:rPr>
        <w:t xml:space="preserve"> — mature, domestically-developed open-source privacy-computing frameworks. This choice compresses our engineering burden, aligns with mainland procurement preferences for indigenous frameworks, and answers the natural panel question of how a four-person team ships privacy computing: we build the compliance application layer on proven foundations rather than re-implementing cryptography.</w:t>
      </w:r>
    </w:p>
    <w:p>
      <w:pPr>
        <w:spacing w:after="100" w:before="200"/>
        <w:jc w:val="left"/>
      </w:pPr>
      <w:r>
        <w:rPr>
          <w:rFonts w:ascii="Arial" w:cs="Arial" w:eastAsia="Arial" w:hAnsi="Arial"/>
          <w:b/>
          <w:bCs/>
          <w:i w:val="false"/>
          <w:iCs w:val="false"/>
          <w:color w:val="2E3A50"/>
          <w:sz w:val="23"/>
          <w:szCs w:val="23"/>
        </w:rPr>
        <w:t xml:space="preserve">3.4 Layer 3 — Flywheel Outputs</w:t>
      </w:r>
    </w:p>
    <w:p>
      <w:pPr>
        <w:spacing w:after="120" w:before="0"/>
        <w:jc w:val="left"/>
      </w:pPr>
      <w:r>
        <w:rPr>
          <w:rFonts w:ascii="Arial" w:cs="Arial" w:eastAsia="Arial" w:hAnsi="Arial"/>
          <w:b w:val="false"/>
          <w:bCs w:val="false"/>
          <w:i w:val="false"/>
          <w:iCs w:val="false"/>
          <w:color w:val="0A0A0F"/>
          <w:sz w:val="20"/>
          <w:szCs w:val="20"/>
        </w:rPr>
        <w:t xml:space="preserve">Telemetry aggregates into three sellable, compounding assets:</w:t>
      </w:r>
    </w:p>
    <w:p>
      <w:pPr>
        <w:pStyle w:val="ListParagraph"/>
        <w:numPr>
          <w:ilvl w:val="0"/>
          <w:numId w:val="2"/>
        </w:numPr>
        <w:spacing w:after="80"/>
      </w:pPr>
      <w:r>
        <w:rPr>
          <w:rFonts w:ascii="Arial" w:cs="Arial" w:eastAsia="Arial" w:hAnsi="Arial"/>
          <w:b/>
          <w:bCs/>
          <w:i w:val="false"/>
          <w:iCs w:val="false"/>
          <w:color w:val="0A0A0F"/>
          <w:sz w:val="20"/>
          <w:szCs w:val="20"/>
        </w:rPr>
        <w:t xml:space="preserve">Industry Benchmark Reports. </w:t>
      </w:r>
      <w:r>
        <w:rPr>
          <w:rFonts w:ascii="Arial" w:cs="Arial" w:eastAsia="Arial" w:hAnsi="Arial"/>
          <w:b w:val="false"/>
          <w:bCs w:val="false"/>
          <w:i w:val="false"/>
          <w:iCs w:val="false"/>
          <w:color w:val="0A0A0F"/>
          <w:sz w:val="20"/>
          <w:szCs w:val="20"/>
        </w:rPr>
        <w:t xml:space="preserve">“Your data-exit risk score versus your industry median.” Converts abstract compliance into a comparable number — the single most persuasive product format for SME buyers.</w:t>
      </w:r>
    </w:p>
    <w:p>
      <w:pPr>
        <w:pStyle w:val="ListParagraph"/>
        <w:numPr>
          <w:ilvl w:val="0"/>
          <w:numId w:val="2"/>
        </w:numPr>
        <w:spacing w:after="80"/>
      </w:pPr>
      <w:r>
        <w:rPr>
          <w:rFonts w:ascii="Arial" w:cs="Arial" w:eastAsia="Arial" w:hAnsi="Arial"/>
          <w:b/>
          <w:bCs/>
          <w:i w:val="false"/>
          <w:iCs w:val="false"/>
          <w:color w:val="0A0A0F"/>
          <w:sz w:val="20"/>
          <w:szCs w:val="20"/>
        </w:rPr>
        <w:t xml:space="preserve">Evolving Detection Rule Library. </w:t>
      </w:r>
      <w:r>
        <w:rPr>
          <w:rFonts w:ascii="Arial" w:cs="Arial" w:eastAsia="Arial" w:hAnsi="Arial"/>
          <w:b w:val="false"/>
          <w:bCs w:val="false"/>
          <w:i w:val="false"/>
          <w:iCs w:val="false"/>
          <w:color w:val="0A0A0F"/>
          <w:sz w:val="20"/>
          <w:szCs w:val="20"/>
        </w:rPr>
        <w:t xml:space="preserve">Every client's false-positive feedback sharpens rules for all clients. Rule precision becomes a function of installed base.</w:t>
      </w:r>
    </w:p>
    <w:p>
      <w:pPr>
        <w:pStyle w:val="ListParagraph"/>
        <w:numPr>
          <w:ilvl w:val="0"/>
          <w:numId w:val="2"/>
        </w:numPr>
        <w:spacing w:after="80"/>
      </w:pPr>
      <w:r>
        <w:rPr>
          <w:rFonts w:ascii="Arial" w:cs="Arial" w:eastAsia="Arial" w:hAnsi="Arial"/>
          <w:b/>
          <w:bCs/>
          <w:i w:val="false"/>
          <w:iCs w:val="false"/>
          <w:color w:val="0A0A0F"/>
          <w:sz w:val="20"/>
          <w:szCs w:val="20"/>
        </w:rPr>
        <w:t xml:space="preserve">Pre-Trained Classifiers. </w:t>
      </w:r>
      <w:r>
        <w:rPr>
          <w:rFonts w:ascii="Arial" w:cs="Arial" w:eastAsia="Arial" w:hAnsi="Arial"/>
          <w:b w:val="false"/>
          <w:bCs w:val="false"/>
          <w:i w:val="false"/>
          <w:iCs w:val="false"/>
          <w:color w:val="0A0A0F"/>
          <w:sz w:val="20"/>
          <w:szCs w:val="20"/>
        </w:rPr>
        <w:t xml:space="preserve">New clients receive field-classification accuracy accumulated across the entire network on day one. Client #50's onboarding experience is measurably better than client #1's — the network effect, stated in a form an assessment panel can verify.</w:t>
      </w:r>
    </w:p>
    <w:p>
      <w:pPr>
        <w:spacing w:after="100" w:before="200"/>
        <w:jc w:val="left"/>
      </w:pPr>
      <w:r>
        <w:rPr>
          <w:rFonts w:ascii="Arial" w:cs="Arial" w:eastAsia="Arial" w:hAnsi="Arial"/>
          <w:b/>
          <w:bCs/>
          <w:i w:val="false"/>
          <w:iCs w:val="false"/>
          <w:color w:val="2E3A50"/>
          <w:sz w:val="23"/>
          <w:szCs w:val="23"/>
        </w:rPr>
        <w:t xml:space="preserve">3.5 Layer 4 — Air-Gap Mode &amp; Open-Source Egress</w:t>
      </w:r>
    </w:p>
    <w:p>
      <w:pPr>
        <w:pStyle w:val="ListParagraph"/>
        <w:numPr>
          <w:ilvl w:val="0"/>
          <w:numId w:val="2"/>
        </w:numPr>
        <w:spacing w:after="80"/>
      </w:pPr>
      <w:r>
        <w:rPr>
          <w:rFonts w:ascii="Arial" w:cs="Arial" w:eastAsia="Arial" w:hAnsi="Arial"/>
          <w:b/>
          <w:bCs/>
          <w:i w:val="false"/>
          <w:iCs w:val="false"/>
          <w:color w:val="0A0A0F"/>
          <w:sz w:val="20"/>
          <w:szCs w:val="20"/>
        </w:rPr>
        <w:t xml:space="preserve">Air-gapped mode: </w:t>
      </w:r>
      <w:r>
        <w:rPr>
          <w:rFonts w:ascii="Arial" w:cs="Arial" w:eastAsia="Arial" w:hAnsi="Arial"/>
          <w:b w:val="false"/>
          <w:bCs w:val="false"/>
          <w:i w:val="false"/>
          <w:iCs w:val="false"/>
          <w:color w:val="0A0A0F"/>
          <w:sz w:val="20"/>
          <w:szCs w:val="20"/>
        </w:rPr>
        <w:t xml:space="preserve">clients may run with zero egress entirely, forgoing benchmark features. Their choice, one configuration flag.</w:t>
      </w:r>
    </w:p>
    <w:p>
      <w:pPr>
        <w:pStyle w:val="ListParagraph"/>
        <w:numPr>
          <w:ilvl w:val="0"/>
          <w:numId w:val="2"/>
        </w:numPr>
        <w:spacing w:after="80"/>
      </w:pPr>
      <w:r>
        <w:rPr>
          <w:rFonts w:ascii="Arial" w:cs="Arial" w:eastAsia="Arial" w:hAnsi="Arial"/>
          <w:b/>
          <w:bCs/>
          <w:i w:val="false"/>
          <w:iCs w:val="false"/>
          <w:color w:val="0A0A0F"/>
          <w:sz w:val="20"/>
          <w:szCs w:val="20"/>
        </w:rPr>
        <w:t xml:space="preserve">Open-source egress controller: </w:t>
      </w:r>
      <w:r>
        <w:rPr>
          <w:rFonts w:ascii="Arial" w:cs="Arial" w:eastAsia="Arial" w:hAnsi="Arial"/>
          <w:b w:val="false"/>
          <w:bCs w:val="false"/>
          <w:i w:val="false"/>
          <w:iCs w:val="false"/>
          <w:color w:val="0A0A0F"/>
          <w:sz w:val="20"/>
          <w:szCs w:val="20"/>
        </w:rPr>
        <w:t xml:space="preserve">the module governing what can leave is published openly. “Data cannot leave” ceases to be a vendor claim and becomes a fact any engineer can verify. For a compliance company, the trust return on this disclosure far exceeds the value of keeping the code private.</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4. Integration Architecture — The Vacuum-Zone Advantage</w:t>
      </w:r>
    </w:p>
    <w:p>
      <w:pPr>
        <w:spacing w:after="120" w:before="0"/>
        <w:jc w:val="left"/>
      </w:pPr>
      <w:r>
        <w:rPr>
          <w:rFonts w:ascii="Arial" w:cs="Arial" w:eastAsia="Arial" w:hAnsi="Arial"/>
          <w:b w:val="false"/>
          <w:bCs w:val="false"/>
          <w:i w:val="false"/>
          <w:iCs w:val="false"/>
          <w:color w:val="0A0A0F"/>
          <w:sz w:val="20"/>
          <w:szCs w:val="20"/>
        </w:rPr>
        <w:t xml:space="preserve">Western compliance platforms (Vanta: 300+ integrations built over seven years) target the fragmented Western SaaS long tail. The Chinese enterprise security stack is structurally different: domestic-substitution policy (XinChuang) and MLPS 2.0 have produced a concentrated market in which roughly ten vendors cover the large majority of enterprise deployments — and no Western platform will ever integrate with them, for commercial and political reasons that run in both directions. Meanwhile, domestic security vendors build MLPS-centric compliance modules, not multi-framework cross-border automation.</w:t>
      </w:r>
    </w:p>
    <w:p>
      <w:pPr>
        <w:spacing w:after="120" w:before="0"/>
        <w:jc w:val="left"/>
      </w:pPr>
      <w:r>
        <w:rPr>
          <w:rFonts w:ascii="Arial" w:cs="Arial" w:eastAsia="Arial" w:hAnsi="Arial"/>
          <w:b/>
          <w:bCs/>
          <w:i w:val="false"/>
          <w:iCs w:val="false"/>
          <w:color w:val="0A0A0F"/>
          <w:sz w:val="20"/>
          <w:szCs w:val="20"/>
        </w:rPr>
        <w:t xml:space="preserve">The result is a genuine vacuum: </w:t>
      </w:r>
      <w:r>
        <w:rPr>
          <w:rFonts w:ascii="Arial" w:cs="Arial" w:eastAsia="Arial" w:hAnsi="Arial"/>
          <w:b w:val="false"/>
          <w:bCs w:val="false"/>
          <w:i w:val="false"/>
          <w:iCs w:val="false"/>
          <w:color w:val="0A0A0F"/>
          <w:sz w:val="20"/>
          <w:szCs w:val="20"/>
        </w:rPr>
        <w:t xml:space="preserve">approximately 20–40 connectors achieve ~80% coverage of the China enterprise stack — a two-year engineering goal for a focused team, not a seven-year 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Connector Wave</w:t>
            </w:r>
          </w:p>
        </w:tc>
        <w:tc>
          <w:tcPr>
            <w:tcW w:type="dxa" w:w="358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China Stack (Mainland Clients)</w:t>
            </w:r>
          </w:p>
        </w:tc>
        <w:tc>
          <w:tcPr>
            <w:tcW w:type="dxa" w:w="358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International Stack (HK / Global Clients)</w:t>
            </w:r>
          </w:p>
        </w:tc>
      </w:tr>
      <w:tr>
        <w:tc>
          <w:tcPr>
            <w:tcW w:type="dxa" w:w="22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Wave 1 (M1–M8)</w:t>
            </w:r>
          </w:p>
        </w:tc>
        <w:tc>
          <w:tcPr>
            <w:tcW w:type="dxa" w:w="358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Sangfor (firewall/SSL VPN), QAX (EDR/SOC), Topsec, Alibaba Cloud, Tencent Cloud, Huawei Cloud, MySQL/PostgreSQL/Oracle</w:t>
            </w:r>
          </w:p>
        </w:tc>
        <w:tc>
          <w:tcPr>
            <w:tcW w:type="dxa" w:w="358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AWS, Azure, M365, Google Workspace, Palo Alto, Splunk</w:t>
            </w:r>
          </w:p>
        </w:tc>
      </w:tr>
      <w:tr>
        <w:tc>
          <w:tcPr>
            <w:tcW w:type="dxa" w:w="22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Wave 2 (M9–M18)</w:t>
            </w:r>
          </w:p>
        </w:tc>
        <w:tc>
          <w:tcPr>
            <w:tcW w:type="dxa" w:w="358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NSFOCUS, Venustech, DBAPPSecurity, Qiniu/OSS stores, WeCom/DingTalk</w:t>
            </w:r>
          </w:p>
        </w:tc>
        <w:tc>
          <w:tcPr>
            <w:tcW w:type="dxa" w:w="358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Okta, Salesforce, Workday, GitHub, Slack</w:t>
            </w:r>
          </w:p>
        </w:tc>
      </w:tr>
      <w:tr>
        <w:tc>
          <w:tcPr>
            <w:tcW w:type="dxa" w:w="22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Vendor leverage</w:t>
            </w:r>
          </w:p>
        </w:tc>
        <w:tc>
          <w:tcPr>
            <w:tcW w:type="dxa" w:w="358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Existing executive relationships with Sangfor, QAX, Topsec: certified-integration programmes and channel co-sell (MOU in progress)</w:t>
            </w:r>
          </w:p>
        </w:tc>
        <w:tc>
          <w:tcPr>
            <w:tcW w:type="dxa" w:w="358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Standard partner API programmes (Palo Alto, Splunk GC relationships)</w:t>
            </w:r>
          </w:p>
        </w:tc>
      </w:tr>
    </w:tbl>
    <w:p>
      <w:pPr>
        <w:spacing w:after="120"/>
      </w:pPr>
      <w:r>
        <w:rPr>
          <w:rFonts w:ascii="Arial" w:cs="Arial" w:eastAsia="Arial" w:hAnsi="Arial"/>
          <w:b w:val="false"/>
          <w:bCs w:val="false"/>
          <w:i w:val="false"/>
          <w:iCs w:val="false"/>
          <w:color w:val="0A0A0F"/>
          <w:sz w:val="20"/>
          <w:szCs w:val="20"/>
        </w:rPr>
        <w:t xml:space="preserve"/>
      </w:r>
    </w:p>
    <w:p>
      <w:pPr>
        <w:spacing w:after="120" w:before="0"/>
        <w:jc w:val="left"/>
      </w:pPr>
      <w:r>
        <w:rPr>
          <w:rFonts w:ascii="Arial" w:cs="Arial" w:eastAsia="Arial" w:hAnsi="Arial"/>
          <w:b w:val="false"/>
          <w:bCs w:val="false"/>
          <w:i w:val="false"/>
          <w:iCs w:val="false"/>
          <w:color w:val="0A0A0F"/>
          <w:sz w:val="20"/>
          <w:szCs w:val="20"/>
        </w:rPr>
        <w:t xml:space="preserve">Strategically, the same security vendors solve SME distribution: TriCom AI is packaged as the “cross-border compliance add-on” sold through their channel networks, which already reach mid-market enterprises nationwide. We do not build an SME sales force; we rent one that exists.</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5. Deployment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730"/>
        <w:gridCol w:w="3730"/>
      </w:tblGrid>
      <w:tr>
        <w:tc>
          <w:tcPr>
            <w:tcW w:type="dxa" w:w="19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9"/>
                <w:szCs w:val="19"/>
              </w:rPr>
              <w:t xml:space="preserve"/>
            </w:r>
          </w:p>
        </w:tc>
        <w:tc>
          <w:tcPr>
            <w:tcW w:type="dxa" w:w="373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Mainland Clients</w:t>
            </w:r>
          </w:p>
        </w:tc>
        <w:tc>
          <w:tcPr>
            <w:tcW w:type="dxa" w:w="373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International Clients (HK / Overseas)</w:t>
            </w:r>
          </w:p>
        </w:tc>
      </w:tr>
      <w:tr>
        <w:tc>
          <w:tcPr>
            <w:tcW w:type="dxa" w:w="19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First install</w:t>
            </w:r>
          </w:p>
        </w:tc>
        <w:tc>
          <w:tcPr>
            <w:tcW w:type="dxa" w:w="373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Certified implementation engineers contracted through the Shenzhen subsidiary; one-time implementation fee keeps unit economics neutral</w:t>
            </w:r>
          </w:p>
        </w:tc>
        <w:tc>
          <w:tcPr>
            <w:tcW w:type="dxa" w:w="373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Self-serve Docker installation with guided wizard; HK-based remote support only</w:t>
            </w:r>
          </w:p>
        </w:tc>
      </w:tr>
      <w:tr>
        <w:tc>
          <w:tcPr>
            <w:tcW w:type="dxa" w:w="19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Ongoing ops</w:t>
            </w:r>
          </w:p>
        </w:tc>
        <w:tc>
          <w:tcPr>
            <w:tcW w:type="dxa" w:w="373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Remote support from Shenzhen R&amp;D centre</w:t>
            </w:r>
          </w:p>
        </w:tc>
        <w:tc>
          <w:tcPr>
            <w:tcW w:type="dxa" w:w="373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Zero mainland-personnel contact — segregation aligned with US DOJ DSP covered-persons restrictions</w:t>
            </w:r>
          </w:p>
        </w:tc>
      </w:tr>
      <w:tr>
        <w:tc>
          <w:tcPr>
            <w:tcW w:type="dxa" w:w="19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Why segregated</w:t>
            </w:r>
          </w:p>
        </w:tc>
        <w:tc>
          <w:tcPr>
            <w:tcW w:type="dxa" w:w="373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Cost efficiency; local-language delivery</w:t>
            </w:r>
          </w:p>
        </w:tc>
        <w:tc>
          <w:tcPr>
            <w:tcW w:type="dxa" w:w="373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A compliance vendor must demonstrably take its own medicine: our delivery model is itself structured around the regulations we advise on</w:t>
            </w:r>
          </w:p>
        </w:tc>
      </w:tr>
    </w:tbl>
    <w:p>
      <w:pPr>
        <w:spacing w:after="140"/>
      </w:pPr>
      <w:r>
        <w:rPr>
          <w:rFonts w:ascii="Arial" w:cs="Arial" w:eastAsia="Arial" w:hAnsi="Arial"/>
          <w:b w:val="false"/>
          <w:bCs w:val="false"/>
          <w:i w:val="false"/>
          <w:iCs w:val="false"/>
          <w:color w:val="0A0A0F"/>
          <w:sz w:val="20"/>
          <w:szCs w:val="20"/>
        </w:rPr>
        <w:t xml:space="preserve"/>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6. Legal–Technical Alignment</w:t>
      </w:r>
    </w:p>
    <w:p>
      <w:pPr>
        <w:spacing w:after="100" w:before="200"/>
        <w:jc w:val="left"/>
      </w:pPr>
      <w:r>
        <w:rPr>
          <w:rFonts w:ascii="Arial" w:cs="Arial" w:eastAsia="Arial" w:hAnsi="Arial"/>
          <w:b/>
          <w:bCs/>
          <w:i w:val="false"/>
          <w:iCs w:val="false"/>
          <w:color w:val="2E3A50"/>
          <w:sz w:val="23"/>
          <w:szCs w:val="23"/>
        </w:rPr>
        <w:t xml:space="preserve">6.1 The Remote-Access Question</w:t>
      </w:r>
    </w:p>
    <w:p>
      <w:pPr>
        <w:spacing w:after="120" w:before="0"/>
        <w:jc w:val="left"/>
      </w:pPr>
      <w:r>
        <w:rPr>
          <w:rFonts w:ascii="Arial" w:cs="Arial" w:eastAsia="Arial" w:hAnsi="Arial"/>
          <w:b w:val="false"/>
          <w:bCs w:val="false"/>
          <w:i w:val="false"/>
          <w:iCs w:val="false"/>
          <w:color w:val="0A0A0F"/>
          <w:sz w:val="20"/>
          <w:szCs w:val="20"/>
        </w:rPr>
        <w:t xml:space="preserve">Both PIPL and GDPR treat cross-border remote access as a transfer. Our answers, by design: (a) the Agent operates autonomously inside the client environment; routine operation requires no inbound access from outside the jurisdiction; (b) maintenance is performed via client-initiated, time-boxed, logged sessions under a localised operations authorisation, or by mainland personnel for mainland clients; (c) the only outbound flow is schema-validated telemetry containing no personal information, falling outside the transfer-mechanism requirements of PIPL Article 38 and GDPR Chapter V. A supporting legal opinion is provided by our regulatory counsel.</w:t>
      </w:r>
    </w:p>
    <w:p>
      <w:pPr>
        <w:spacing w:after="100" w:before="200"/>
        <w:jc w:val="left"/>
      </w:pPr>
      <w:r>
        <w:rPr>
          <w:rFonts w:ascii="Arial" w:cs="Arial" w:eastAsia="Arial" w:hAnsi="Arial"/>
          <w:b/>
          <w:bCs/>
          <w:i w:val="false"/>
          <w:iCs w:val="false"/>
          <w:color w:val="2E3A50"/>
          <w:sz w:val="23"/>
          <w:szCs w:val="23"/>
        </w:rPr>
        <w:t xml:space="preserve">6.2 Corporate IP Structure</w:t>
      </w:r>
    </w:p>
    <w:p>
      <w:pPr>
        <w:spacing w:after="120" w:before="0"/>
        <w:jc w:val="left"/>
      </w:pPr>
      <w:r>
        <w:rPr>
          <w:rFonts w:ascii="Arial" w:cs="Arial" w:eastAsia="Arial" w:hAnsi="Arial"/>
          <w:b w:val="false"/>
          <w:bCs w:val="false"/>
          <w:i w:val="false"/>
          <w:iCs w:val="false"/>
          <w:color w:val="0A0A0F"/>
          <w:sz w:val="20"/>
          <w:szCs w:val="20"/>
        </w:rPr>
        <w:t xml:space="preserve">The Hong Kong parent owns all platform IP; the Shenzhen subsidiary performs contracted R&amp;D with explicit assignment. The algorithm portfolio has been screened against China's Catalogue of Technologies Prohibited or Restricted from Export (data-analysis category) and the commercial-cryptography export regime; the screening memorandum, signed by counsel, accompanies this paper. A cross-border compliance company must have an impeccable cross-border structure of its own — we treat this as a sales asset, not a checkbox.</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7. Security Controls</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Agent hardening: minimal base images, no inbound listening ports by default, read-only connectors wherever the integration permits.</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Least privilege: discovery credentials are scoped, vaulted client-side (client-managed KMS), never transmitted to TriCom AI.</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Software supply chain: signed releases, SBOM published per release, reproducible builds for the egress controller.</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Client-side audit: every egress payload, schema version, and maintenance session is logged to client-controlled storage.</w:t>
      </w:r>
    </w:p>
    <w:p>
      <w:pPr>
        <w:pStyle w:val="ListParagraph"/>
        <w:numPr>
          <w:ilvl w:val="0"/>
          <w:numId w:val="2"/>
        </w:numPr>
        <w:spacing w:after="80"/>
      </w:pPr>
      <w:r>
        <w:rPr>
          <w:rFonts w:ascii="Arial" w:cs="Arial" w:eastAsia="Arial" w:hAnsi="Arial"/>
          <w:b w:val="false"/>
          <w:bCs w:val="false"/>
          <w:i w:val="false"/>
          <w:iCs w:val="false"/>
          <w:color w:val="0A0A0F"/>
          <w:sz w:val="20"/>
          <w:szCs w:val="20"/>
        </w:rPr>
        <w:t xml:space="preserve">Personnel: implementation engineers are background-checked, NDA-bound, and certified through an internal training programme before client deployment.</w:t>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8. Technology Stack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Layer</w:t>
            </w:r>
          </w:p>
        </w:tc>
        <w:tc>
          <w:tcPr>
            <w:tcW w:type="dxa" w:w="656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Selection</w:t>
            </w:r>
          </w:p>
        </w:tc>
      </w:tr>
      <w:tr>
        <w:tc>
          <w:tcPr>
            <w:tcW w:type="dxa" w:w="28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Agent core / orchestration</w:t>
            </w:r>
          </w:p>
        </w:tc>
        <w:tc>
          <w:tcPr>
            <w:tcW w:type="dxa" w:w="65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Python · FastAPI · LangGraph · MCP SDK</w:t>
            </w:r>
          </w:p>
        </w:tc>
      </w:tr>
      <w:tr>
        <w:tc>
          <w:tcPr>
            <w:tcW w:type="dxa" w:w="28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Data &amp; retrieval</w:t>
            </w:r>
          </w:p>
        </w:tc>
        <w:tc>
          <w:tcPr>
            <w:tcW w:type="dxa" w:w="65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PostgreSQL + pgvector (rule library, embeddings, client config)</w:t>
            </w:r>
          </w:p>
        </w:tc>
      </w:tr>
      <w:tr>
        <w:tc>
          <w:tcPr>
            <w:tcW w:type="dxa" w:w="28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Privacy computing</w:t>
            </w:r>
          </w:p>
        </w:tc>
        <w:tc>
          <w:tcPr>
            <w:tcW w:type="dxa" w:w="65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SecretFlow / FATE (federated learning, secure aggregation)</w:t>
            </w:r>
          </w:p>
        </w:tc>
      </w:tr>
      <w:tr>
        <w:tc>
          <w:tcPr>
            <w:tcW w:type="dxa" w:w="28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Dashboard (MVP layer)</w:t>
            </w:r>
          </w:p>
        </w:tc>
        <w:tc>
          <w:tcPr>
            <w:tcW w:type="dxa" w:w="65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React · TypeScript · Next.js · shadcn/ui</w:t>
            </w:r>
          </w:p>
        </w:tc>
      </w:tr>
      <w:tr>
        <w:tc>
          <w:tcPr>
            <w:tcW w:type="dxa" w:w="28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Packaging</w:t>
            </w:r>
          </w:p>
        </w:tc>
        <w:tc>
          <w:tcPr>
            <w:tcW w:type="dxa" w:w="65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Docker Compose (SME self-serve) · Helm (enterprise K8s)</w:t>
            </w:r>
          </w:p>
        </w:tc>
      </w:tr>
    </w:tbl>
    <w:p>
      <w:pPr>
        <w:spacing w:after="140"/>
      </w:pPr>
      <w:r>
        <w:rPr>
          <w:rFonts w:ascii="Arial" w:cs="Arial" w:eastAsia="Arial" w:hAnsi="Arial"/>
          <w:b w:val="false"/>
          <w:bCs w:val="false"/>
          <w:i w:val="false"/>
          <w:iCs w:val="false"/>
          <w:color w:val="0A0A0F"/>
          <w:sz w:val="20"/>
          <w:szCs w:val="20"/>
        </w:rPr>
        <w:t xml:space="preserve"/>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9. 24-Month Engineering Roadmap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400"/>
        <w:gridCol w:w="3260"/>
      </w:tblGrid>
      <w:tr>
        <w:tc>
          <w:tcPr>
            <w:tcW w:type="dxa" w:w="17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Phase</w:t>
            </w:r>
          </w:p>
        </w:tc>
        <w:tc>
          <w:tcPr>
            <w:tcW w:type="dxa" w:w="440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Engineering Milestones</w:t>
            </w:r>
          </w:p>
        </w:tc>
        <w:tc>
          <w:tcPr>
            <w:tcW w:type="dxa" w:w="3260"/>
            <w:tcBorders>
              <w:top w:val="single" w:color="D8D4CC" w:sz="4"/>
              <w:left w:val="single" w:color="D8D4CC" w:sz="4"/>
              <w:bottom w:val="single" w:color="D8D4CC" w:sz="4"/>
              <w:right w:val="single" w:color="D8D4CC" w:sz="4"/>
            </w:tcBorders>
            <w:shd w:fill="1C2A40" w:val="clear"/>
            <w:tcMar>
              <w:top w:type="dxa" w:w="90"/>
              <w:left w:type="dxa" w:w="130"/>
              <w:bottom w:type="dxa" w:w="90"/>
              <w:right w:type="dxa" w:w="130"/>
            </w:tcMar>
          </w:tcPr>
          <w:p>
            <w:pPr>
              <w:jc w:val="left"/>
            </w:pPr>
            <w:r>
              <w:rPr>
                <w:rFonts w:ascii="Arial" w:cs="Arial" w:eastAsia="Arial" w:hAnsi="Arial"/>
                <w:b/>
                <w:bCs/>
                <w:i w:val="false"/>
                <w:iCs w:val="false"/>
                <w:color w:val="F2F0EB"/>
                <w:sz w:val="19"/>
                <w:szCs w:val="19"/>
              </w:rPr>
              <w:t xml:space="preserve">Proof Point</w:t>
            </w:r>
          </w:p>
        </w:tc>
      </w:tr>
      <w:tr>
        <w:tc>
          <w:tcPr>
            <w:tcW w:type="dxa" w:w="17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M1–M6</w:t>
            </w:r>
          </w:p>
        </w:tc>
        <w:tc>
          <w:tcPr>
            <w:tcW w:type="dxa" w:w="44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Harden MVP dashboard; ship Egress Controller v1 (open-sourced); Wave-1 connectors ×6; one-click Docker installer</w:t>
            </w:r>
          </w:p>
        </w:tc>
        <w:tc>
          <w:tcPr>
            <w:tcW w:type="dxa" w:w="32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3 paying deployments; egress audit log demonstrated live</w:t>
            </w:r>
          </w:p>
        </w:tc>
      </w:tr>
      <w:tr>
        <w:tc>
          <w:tcPr>
            <w:tcW w:type="dxa" w:w="17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M7–M12</w:t>
            </w:r>
          </w:p>
        </w:tc>
        <w:tc>
          <w:tcPr>
            <w:tcW w:type="dxa" w:w="44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Federated learning pipeline on SecretFlow; benchmark report generator; Wave-1 complete (12+ connectors)</w:t>
            </w:r>
          </w:p>
        </w:tc>
        <w:tc>
          <w:tcPr>
            <w:tcW w:type="dxa" w:w="32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First cross-client benchmark issued; channel MOU signed</w:t>
            </w:r>
          </w:p>
        </w:tc>
      </w:tr>
      <w:tr>
        <w:tc>
          <w:tcPr>
            <w:tcW w:type="dxa" w:w="17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M13–M18</w:t>
            </w:r>
          </w:p>
        </w:tc>
        <w:tc>
          <w:tcPr>
            <w:tcW w:type="dxa" w:w="440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Differential-privacy budget manager; Wave-2 connectors; multi-tenant management console for channel partners</w:t>
            </w:r>
          </w:p>
        </w:tc>
        <w:tc>
          <w:tcPr>
            <w:tcW w:type="dxa" w:w="3260"/>
            <w:tcBorders>
              <w:top w:val="single" w:color="D8D4CC" w:sz="4"/>
              <w:left w:val="single" w:color="D8D4CC" w:sz="4"/>
              <w:bottom w:val="single" w:color="D8D4CC" w:sz="4"/>
              <w:right w:val="single" w:color="D8D4CC" w:sz="4"/>
            </w:tcBorders>
            <w:shd w:fill="F2F0EB" w:val="clear"/>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Channel-originated deployments live; 20+ connectors</w:t>
            </w:r>
          </w:p>
        </w:tc>
      </w:tr>
      <w:tr>
        <w:tc>
          <w:tcPr>
            <w:tcW w:type="dxa" w:w="17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bCs/>
                <w:i w:val="false"/>
                <w:iCs w:val="false"/>
                <w:color w:val="0A0A0F"/>
                <w:sz w:val="19"/>
                <w:szCs w:val="19"/>
              </w:rPr>
              <w:t xml:space="preserve">M19–M24</w:t>
            </w:r>
          </w:p>
        </w:tc>
        <w:tc>
          <w:tcPr>
            <w:tcW w:type="dxa" w:w="440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Pre-trained classifier distribution; air-gap certification kit; SOC 2 Type II for the telemetry cloud</w:t>
            </w:r>
          </w:p>
        </w:tc>
        <w:tc>
          <w:tcPr>
            <w:tcW w:type="dxa" w:w="3260"/>
            <w:tcBorders>
              <w:top w:val="single" w:color="D8D4CC" w:sz="4"/>
              <w:left w:val="single" w:color="D8D4CC" w:sz="4"/>
              <w:bottom w:val="single" w:color="D8D4CC" w:sz="4"/>
              <w:right w:val="single" w:color="D8D4CC" w:sz="4"/>
            </w:tcBorders>
            <w:tcMar>
              <w:top w:type="dxa" w:w="90"/>
              <w:left w:type="dxa" w:w="130"/>
              <w:bottom w:type="dxa" w:w="90"/>
              <w:right w:type="dxa" w:w="130"/>
            </w:tcMar>
          </w:tcPr>
          <w:p>
            <w:pPr>
              <w:jc w:val="left"/>
            </w:pPr>
            <w:r>
              <w:rPr>
                <w:rFonts w:ascii="Arial" w:cs="Arial" w:eastAsia="Arial" w:hAnsi="Arial"/>
                <w:b w:val="false"/>
                <w:bCs w:val="false"/>
                <w:i w:val="false"/>
                <w:iCs w:val="false"/>
                <w:color w:val="0A0A0F"/>
                <w:sz w:val="18"/>
                <w:szCs w:val="18"/>
              </w:rPr>
              <w:t xml:space="preserve">Measurable day-one accuracy uplift for new clients — the flywheel, demonstrated</w:t>
            </w:r>
          </w:p>
        </w:tc>
      </w:tr>
    </w:tbl>
    <w:p>
      <w:pPr>
        <w:spacing w:after="160"/>
      </w:pPr>
      <w:r>
        <w:rPr>
          <w:rFonts w:ascii="Arial" w:cs="Arial" w:eastAsia="Arial" w:hAnsi="Arial"/>
          <w:b w:val="false"/>
          <w:bCs w:val="false"/>
          <w:i w:val="false"/>
          <w:iCs w:val="false"/>
          <w:color w:val="0A0A0F"/>
          <w:sz w:val="20"/>
          <w:szCs w:val="20"/>
        </w:rPr>
        <w:t xml:space="preserve"/>
      </w:r>
    </w:p>
    <w:p>
      <w:pPr>
        <w:pBdr>
          <w:bottom w:val="single" w:color="B8975A" w:sz="6" w:space="1"/>
        </w:pBdr>
        <w:spacing w:after="140" w:before="260"/>
        <w:jc w:val="left"/>
      </w:pPr>
      <w:r>
        <w:rPr>
          <w:rFonts w:ascii="Arial" w:cs="Arial" w:eastAsia="Arial" w:hAnsi="Arial"/>
          <w:b/>
          <w:bCs/>
          <w:i w:val="false"/>
          <w:iCs w:val="false"/>
          <w:color w:val="1C2A40"/>
          <w:sz w:val="27"/>
          <w:szCs w:val="27"/>
        </w:rPr>
        <w:t xml:space="preserve">10. Conclusion</w:t>
      </w:r>
    </w:p>
    <w:p>
      <w:pPr>
        <w:spacing w:after="120" w:before="0"/>
        <w:jc w:val="left"/>
      </w:pPr>
      <w:r>
        <w:rPr>
          <w:rFonts w:ascii="Arial" w:cs="Arial" w:eastAsia="Arial" w:hAnsi="Arial"/>
          <w:b w:val="false"/>
          <w:bCs w:val="false"/>
          <w:i w:val="false"/>
          <w:iCs w:val="false"/>
          <w:color w:val="0A0A0F"/>
          <w:sz w:val="20"/>
          <w:szCs w:val="20"/>
        </w:rPr>
        <w:t xml:space="preserve">The architecture described here is not a compliance product with privacy features bolted on. It is the inversion of the SaaS compliance model: computation moves to the data, intelligence is extracted as telemetry under mathematical privacy guarantees, and the zero-egress claim is verifiable in open code. This is the only architecture that can simultaneously serve a mainland client wary of foreign clouds and a multinational client wary of mainland exposure — which is precisely the market position TriCom AI exists to occupy.</w:t>
      </w:r>
    </w:p>
    <w:p>
      <w:pPr>
        <w:spacing w:after="100"/>
      </w:pPr>
      <w:r>
        <w:rPr>
          <w:rFonts w:ascii="Arial" w:cs="Arial" w:eastAsia="Arial" w:hAnsi="Arial"/>
          <w:b w:val="false"/>
          <w:bCs w:val="false"/>
          <w:i w:val="false"/>
          <w:iCs w:val="false"/>
          <w:color w:val="0A0A0F"/>
          <w:sz w:val="20"/>
          <w:szCs w:val="20"/>
        </w:rPr>
        <w:t xml:space="preserve"/>
      </w:r>
    </w:p>
    <w:p>
      <w:pPr>
        <w:spacing w:after="120" w:before="0"/>
        <w:jc w:val="center"/>
      </w:pPr>
      <w:r>
        <w:rPr>
          <w:rFonts w:ascii="Arial" w:cs="Arial" w:eastAsia="Arial" w:hAnsi="Arial"/>
          <w:b/>
          <w:bCs/>
          <w:i/>
          <w:iCs/>
          <w:color w:val="2E3A50"/>
          <w:sz w:val="22"/>
          <w:szCs w:val="22"/>
        </w:rPr>
        <w:t xml:space="preserve">“Three jurisdictions. One intelligence. The data never moves.”</w:t>
      </w:r>
    </w:p>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D4CC" w:sz="4" w:space="1"/>
      </w:pBdr>
      <w:tabs>
        <w:tab w:val="right" w:pos="9026"/>
      </w:tabs>
      <w:spacing w:before="80"/>
    </w:pPr>
    <w:r>
      <w:rPr>
        <w:rFonts w:ascii="Arial" w:cs="Arial" w:eastAsia="Arial" w:hAnsi="Arial"/>
        <w:b w:val="false"/>
        <w:bCs w:val="false"/>
        <w:i w:val="false"/>
        <w:iCs w:val="false"/>
        <w:color w:val="6A6A82"/>
        <w:sz w:val="16"/>
        <w:szCs w:val="16"/>
      </w:rPr>
      <w:t xml:space="preserve">In-Environment Compliance Agent  ·  Zero-Egress Architecture</w:t>
    </w:r>
    <w:r>
      <w:rPr>
        <w:rFonts w:ascii="Arial" w:cs="Arial" w:eastAsia="Arial" w:hAnsi="Arial"/>
        <w:b w:val="false"/>
        <w:bCs w:val="false"/>
        <w:i w:val="false"/>
        <w:iCs w:val="false"/>
        <w:color w:val="0A0A0F"/>
        <w:sz w:val="16"/>
        <w:szCs w:val="16"/>
      </w:rPr>
      <w:t xml:space="preserve">	</w:t>
    </w:r>
    <w:r>
      <w:rPr>
        <w:color w:val="B8975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75A" w:sz="6" w:space="1"/>
      </w:pBdr>
      <w:tabs>
        <w:tab w:val="right" w:pos="9026"/>
      </w:tabs>
      <w:spacing w:after="80"/>
    </w:pPr>
    <w:r>
      <w:rPr>
        <w:rFonts w:ascii="Arial" w:cs="Arial" w:eastAsia="Arial" w:hAnsi="Arial"/>
        <w:b/>
        <w:bCs/>
        <w:i w:val="false"/>
        <w:iCs w:val="false"/>
        <w:color w:val="1C2A40"/>
        <w:sz w:val="18"/>
        <w:szCs w:val="18"/>
      </w:rPr>
      <w:t xml:space="preserve">TriCom AI</w:t>
    </w:r>
    <w:r>
      <w:rPr>
        <w:rFonts w:ascii="Arial" w:cs="Arial" w:eastAsia="Arial" w:hAnsi="Arial"/>
        <w:b w:val="false"/>
        <w:bCs w:val="false"/>
        <w:i w:val="false"/>
        <w:iCs w:val="false"/>
        <w:color w:val="6A6A82"/>
        <w:sz w:val="16"/>
        <w:szCs w:val="16"/>
      </w:rPr>
      <w:t xml:space="preserve">  ·  Technical White Paper v1.0</w:t>
    </w:r>
    <w:r>
      <w:rPr>
        <w:rFonts w:ascii="Arial" w:cs="Arial" w:eastAsia="Arial" w:hAnsi="Arial"/>
        <w:b w:val="false"/>
        <w:bCs w:val="false"/>
        <w:i w:val="false"/>
        <w:iCs w:val="false"/>
        <w:color w:val="0A0A0F"/>
        <w:sz w:val="16"/>
        <w:szCs w:val="16"/>
      </w:rPr>
      <w:t xml:space="preserve">	</w:t>
    </w:r>
    <w:r>
      <w:rPr>
        <w:rFonts w:ascii="Arial" w:cs="Arial" w:eastAsia="Arial" w:hAnsi="Arial"/>
        <w:b/>
        <w:bCs/>
        <w:i w:val="false"/>
        <w:iCs w:val="false"/>
        <w:color w:val="B8975A"/>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A0A0F"/>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2026-06-11T03:33:25.484Z</dcterms:created>
  <dcterms:modified xsi:type="dcterms:W3CDTF">2026-06-11T03:33:25.496Z</dcterms:modified>
</cp:coreProperties>
</file>

<file path=docProps/custom.xml><?xml version="1.0" encoding="utf-8"?>
<Properties xmlns="http://schemas.openxmlformats.org/officeDocument/2006/custom-properties" xmlns:vt="http://schemas.openxmlformats.org/officeDocument/2006/docPropsVTypes"/>
</file>